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</w:t>
      </w:r>
      <w:proofErr w:type="gramStart"/>
      <w:r w:rsidR="00172F0A">
        <w:rPr>
          <w:b/>
          <w:bCs/>
          <w:color w:val="FF0000"/>
          <w:sz w:val="22"/>
        </w:rPr>
        <w:t>where</w:t>
      </w:r>
      <w:proofErr w:type="gramEnd"/>
      <w:r w:rsidR="00172F0A">
        <w:rPr>
          <w:b/>
          <w:bCs/>
          <w:color w:val="FF0000"/>
          <w:sz w:val="22"/>
        </w:rPr>
        <w:t xml:space="preserve">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5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6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77777777" w:rsidR="008C4076" w:rsidRDefault="008C4076" w:rsidP="00BF7024">
            <w:pPr>
              <w:rPr>
                <w:sz w:val="22"/>
              </w:rPr>
            </w:pPr>
          </w:p>
          <w:p w14:paraId="2DBAB5C6" w14:textId="29875E9E" w:rsidR="00AE5FAF" w:rsidRPr="009C5AC4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>Michael Hengelsberg</w:t>
            </w:r>
          </w:p>
        </w:tc>
        <w:tc>
          <w:tcPr>
            <w:tcW w:w="5490" w:type="dxa"/>
            <w:gridSpan w:val="2"/>
          </w:tcPr>
          <w:p w14:paraId="6EDC48A4" w14:textId="6483FB39" w:rsidR="008C4076" w:rsidRPr="009C5AC4" w:rsidRDefault="006F2E5D" w:rsidP="00BF7024">
            <w:pPr>
              <w:rPr>
                <w:sz w:val="22"/>
              </w:rPr>
            </w:pPr>
            <w:hyperlink r:id="rId7" w:history="1">
              <w:r w:rsidRPr="00F2288D">
                <w:rPr>
                  <w:rStyle w:val="Hyperlink"/>
                  <w:sz w:val="22"/>
                </w:rPr>
                <w:t>mdhengelsberg@gmail.com</w:t>
              </w:r>
            </w:hyperlink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6DFF4B8F" w14:textId="230DA8DD" w:rsidR="00B2286A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>4336 Rosanna Drive</w:t>
            </w:r>
          </w:p>
          <w:p w14:paraId="3FA36551" w14:textId="3F826648" w:rsidR="006F2E5D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>Allison Park, PA  15101</w:t>
            </w:r>
          </w:p>
          <w:p w14:paraId="506C5A03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2745" w:type="dxa"/>
          </w:tcPr>
          <w:p w14:paraId="74472D88" w14:textId="5BFBBD41" w:rsidR="00B2286A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>(412) 779-1831</w:t>
            </w: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6023DE0E" w14:textId="1CEA2639" w:rsidR="00B2286A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Master Director, Greater Harmony Chorus.  Have directed barbershop choruses and church choirs for 30 years.   Region Champion director in </w:t>
            </w:r>
            <w:proofErr w:type="gramStart"/>
            <w:r>
              <w:rPr>
                <w:sz w:val="22"/>
              </w:rPr>
              <w:t>Region</w:t>
            </w:r>
            <w:proofErr w:type="gramEnd"/>
            <w:r>
              <w:rPr>
                <w:sz w:val="22"/>
              </w:rPr>
              <w:t xml:space="preserve"> 17.  I’ve been coaching quartets and choruses in </w:t>
            </w:r>
            <w:proofErr w:type="gramStart"/>
            <w:r>
              <w:rPr>
                <w:sz w:val="22"/>
              </w:rPr>
              <w:t>Region</w:t>
            </w:r>
            <w:proofErr w:type="gramEnd"/>
            <w:r>
              <w:rPr>
                <w:sz w:val="22"/>
              </w:rPr>
              <w:t xml:space="preserve"> 17 since 2016 when joining Greater Harmony Chorus.</w:t>
            </w:r>
          </w:p>
          <w:p w14:paraId="40B08CBC" w14:textId="77777777" w:rsidR="00AE5FAF" w:rsidRDefault="00AE5FAF" w:rsidP="00BF7024">
            <w:pPr>
              <w:rPr>
                <w:sz w:val="22"/>
              </w:rPr>
            </w:pPr>
          </w:p>
          <w:p w14:paraId="6813509E" w14:textId="1FAC56F9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3" w:type="dxa"/>
          </w:tcPr>
          <w:p w14:paraId="5D4B6237" w14:textId="77777777" w:rsidR="00312033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>Sound – free flow of vocals.</w:t>
            </w:r>
            <w:r>
              <w:rPr>
                <w:sz w:val="22"/>
              </w:rPr>
              <w:br/>
              <w:t>Connecting the meaning of a sing to the vocals of a song.</w:t>
            </w:r>
          </w:p>
          <w:p w14:paraId="4808B2E3" w14:textId="1BE7CDC9" w:rsidR="006F2E5D" w:rsidRPr="009C5AC4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>Ability to work with beginning and advanced quartets to help them grow.</w:t>
            </w: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430"/>
        <w:gridCol w:w="630"/>
        <w:gridCol w:w="540"/>
        <w:gridCol w:w="2430"/>
        <w:gridCol w:w="630"/>
        <w:gridCol w:w="598"/>
        <w:gridCol w:w="3632"/>
      </w:tblGrid>
      <w:tr w:rsidR="009C5AC4" w:rsidRPr="009C5AC4" w14:paraId="484A269B" w14:textId="77777777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172F0A">
        <w:tc>
          <w:tcPr>
            <w:tcW w:w="2430" w:type="dxa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4C37E2" w:rsidRPr="006F2E5D" w:rsidRDefault="004C37E2" w:rsidP="00BF7024">
            <w:pPr>
              <w:rPr>
                <w:b/>
                <w:bCs/>
                <w:sz w:val="22"/>
              </w:rPr>
            </w:pPr>
            <w:r w:rsidRPr="006F2E5D">
              <w:rPr>
                <w:b/>
                <w:bCs/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6E628C4A" w14:textId="1E3F2C3E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4F4EA402" w14:textId="5568934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14:paraId="6CF241EF" w14:textId="4FCE745A" w:rsidR="004C37E2" w:rsidRPr="006F2E5D" w:rsidRDefault="004C37E2" w:rsidP="00BF7024">
            <w:pPr>
              <w:rPr>
                <w:b/>
                <w:bCs/>
                <w:sz w:val="22"/>
              </w:rPr>
            </w:pPr>
            <w:r w:rsidRPr="006F2E5D">
              <w:rPr>
                <w:b/>
                <w:bCs/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55ACEA51" w14:textId="7CBAF0D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5A613F1" w14:textId="60CA217B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  <w:r w:rsidR="006F2E5D">
              <w:rPr>
                <w:sz w:val="22"/>
              </w:rPr>
              <w:t>$50.00/</w:t>
            </w:r>
            <w:proofErr w:type="spellStart"/>
            <w:r w:rsidR="006F2E5D">
              <w:rPr>
                <w:sz w:val="22"/>
              </w:rPr>
              <w:t>hr</w:t>
            </w:r>
            <w:proofErr w:type="spellEnd"/>
          </w:p>
        </w:tc>
      </w:tr>
      <w:tr w:rsidR="004C37E2" w:rsidRPr="009C5AC4" w14:paraId="5D404880" w14:textId="77777777" w:rsidTr="00172F0A">
        <w:tc>
          <w:tcPr>
            <w:tcW w:w="2430" w:type="dxa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77777777" w:rsidR="004C37E2" w:rsidRPr="006F2E5D" w:rsidRDefault="004C37E2" w:rsidP="00BF7024">
            <w:pPr>
              <w:rPr>
                <w:b/>
                <w:bCs/>
                <w:sz w:val="22"/>
              </w:rPr>
            </w:pPr>
            <w:r w:rsidRPr="006F2E5D">
              <w:rPr>
                <w:b/>
                <w:bCs/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7676430E" w14:textId="6E0455F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23898D68" w14:textId="45FF1965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14:paraId="15A4357E" w14:textId="083701EC" w:rsidR="004C37E2" w:rsidRPr="006F2E5D" w:rsidRDefault="004C37E2" w:rsidP="00BF7024">
            <w:pPr>
              <w:rPr>
                <w:b/>
                <w:bCs/>
                <w:sz w:val="22"/>
              </w:rPr>
            </w:pPr>
            <w:r w:rsidRPr="006F2E5D">
              <w:rPr>
                <w:b/>
                <w:bCs/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1F75923" w14:textId="6C82195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792360AA" w14:textId="6423DC5C" w:rsidR="004C37E2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6F2E5D">
              <w:rPr>
                <w:sz w:val="22"/>
              </w:rPr>
              <w:t>$40.00/</w:t>
            </w:r>
            <w:proofErr w:type="spellStart"/>
            <w:r w:rsidR="006F2E5D">
              <w:rPr>
                <w:sz w:val="22"/>
              </w:rPr>
              <w:t>hr</w:t>
            </w:r>
            <w:proofErr w:type="spellEnd"/>
          </w:p>
        </w:tc>
      </w:tr>
      <w:tr w:rsidR="004C37E2" w:rsidRPr="009C5AC4" w14:paraId="39ED567C" w14:textId="77777777" w:rsidTr="00172F0A">
        <w:tc>
          <w:tcPr>
            <w:tcW w:w="2430" w:type="dxa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2AC23931" w:rsidR="004C37E2" w:rsidRPr="006F2E5D" w:rsidRDefault="004C37E2" w:rsidP="006F2E5D">
            <w:pPr>
              <w:rPr>
                <w:b/>
                <w:bCs/>
                <w:sz w:val="22"/>
              </w:rPr>
            </w:pPr>
            <w:r w:rsidRPr="006F2E5D">
              <w:rPr>
                <w:b/>
                <w:bCs/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2450691D" w14:textId="5FEB532B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54A28880" w14:textId="667E1D8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14:paraId="47081EE3" w14:textId="59D095A1" w:rsidR="004C37E2" w:rsidRPr="006F2E5D" w:rsidRDefault="004C37E2" w:rsidP="009C5AC4">
            <w:pPr>
              <w:rPr>
                <w:b/>
                <w:bCs/>
                <w:sz w:val="22"/>
              </w:rPr>
            </w:pPr>
            <w:r w:rsidRPr="006F2E5D">
              <w:rPr>
                <w:b/>
                <w:bCs/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BDD3701" w14:textId="216782D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3094076B" w14:textId="6C780456"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6F2E5D">
              <w:rPr>
                <w:sz w:val="22"/>
              </w:rPr>
              <w:t>$15/half hour session</w:t>
            </w:r>
          </w:p>
        </w:tc>
      </w:tr>
      <w:tr w:rsidR="008C4076" w:rsidRPr="009C5AC4" w14:paraId="0D4A4E0C" w14:textId="77777777" w:rsidTr="00172F0A">
        <w:tc>
          <w:tcPr>
            <w:tcW w:w="3600" w:type="dxa"/>
            <w:gridSpan w:val="3"/>
          </w:tcPr>
          <w:p w14:paraId="611B98E1" w14:textId="1C36548F"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430" w:type="dxa"/>
          </w:tcPr>
          <w:p w14:paraId="1CC2D61B" w14:textId="77777777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14:paraId="0D4F29F4" w14:textId="4A0A45EF" w:rsidR="008C4076" w:rsidRPr="006F2E5D" w:rsidRDefault="008C4076" w:rsidP="009C5AC4">
            <w:pPr>
              <w:rPr>
                <w:b/>
                <w:bCs/>
                <w:sz w:val="22"/>
              </w:rPr>
            </w:pPr>
            <w:r w:rsidRPr="006F2E5D">
              <w:rPr>
                <w:b/>
                <w:bCs/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7AC4D4AA" w14:textId="69F11952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C1F714B" w14:textId="1D4F3950"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 w:rsidR="006F2E5D">
              <w:rPr>
                <w:sz w:val="22"/>
              </w:rPr>
              <w:t xml:space="preserve"> Mileage, </w:t>
            </w:r>
            <w:proofErr w:type="gramStart"/>
            <w:r w:rsidR="006F2E5D">
              <w:rPr>
                <w:sz w:val="22"/>
              </w:rPr>
              <w:t>hotel</w:t>
            </w:r>
            <w:proofErr w:type="gramEnd"/>
            <w:r w:rsidR="006F2E5D">
              <w:rPr>
                <w:sz w:val="22"/>
              </w:rPr>
              <w:t xml:space="preserve"> and meals during the coaching if necessary.</w:t>
            </w:r>
          </w:p>
        </w:tc>
      </w:tr>
      <w:tr w:rsidR="008C4076" w:rsidRPr="009C5AC4" w14:paraId="6E5A63B8" w14:textId="77777777" w:rsidTr="00172F0A">
        <w:tc>
          <w:tcPr>
            <w:tcW w:w="3600" w:type="dxa"/>
            <w:gridSpan w:val="3"/>
          </w:tcPr>
          <w:p w14:paraId="39D04E06" w14:textId="3167F46A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6F2E5D">
              <w:rPr>
                <w:b/>
                <w:bCs/>
                <w:sz w:val="22"/>
              </w:rPr>
              <w:t xml:space="preserve"> I thrive on coaching and look forward to helping.</w:t>
            </w:r>
          </w:p>
        </w:tc>
        <w:tc>
          <w:tcPr>
            <w:tcW w:w="3658" w:type="dxa"/>
            <w:gridSpan w:val="3"/>
          </w:tcPr>
          <w:p w14:paraId="074E1772" w14:textId="700DD7E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6F2E5D">
              <w:rPr>
                <w:b/>
                <w:bCs/>
                <w:sz w:val="22"/>
              </w:rPr>
              <w:t xml:space="preserve"> Would love to work with you in any venue that is convenient.  </w:t>
            </w:r>
          </w:p>
        </w:tc>
        <w:tc>
          <w:tcPr>
            <w:tcW w:w="3632" w:type="dxa"/>
          </w:tcPr>
          <w:p w14:paraId="3E25EDFB" w14:textId="77777777" w:rsidR="008C4076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  <w:r w:rsidR="006F2E5D">
              <w:rPr>
                <w:sz w:val="22"/>
              </w:rPr>
              <w:t xml:space="preserve"> Chorus coaching – typical cap at $400 for a coaching weekend (plus mileage, accommodations, meals)</w:t>
            </w:r>
          </w:p>
          <w:p w14:paraId="2A64F1C6" w14:textId="77777777" w:rsidR="006F2E5D" w:rsidRDefault="006F2E5D" w:rsidP="00BF7024">
            <w:pPr>
              <w:rPr>
                <w:sz w:val="22"/>
              </w:rPr>
            </w:pPr>
            <w:r>
              <w:rPr>
                <w:sz w:val="22"/>
              </w:rPr>
              <w:t>Quartets – Typically cap at $80.00 total regardless of length of coaching.</w:t>
            </w:r>
          </w:p>
          <w:p w14:paraId="625BBCDB" w14:textId="77777777" w:rsidR="006F2E5D" w:rsidRDefault="006F2E5D" w:rsidP="00BF7024">
            <w:pPr>
              <w:rPr>
                <w:sz w:val="22"/>
              </w:rPr>
            </w:pPr>
          </w:p>
          <w:p w14:paraId="59E62D08" w14:textId="77A0A161" w:rsidR="006F2E5D" w:rsidRPr="009C5AC4" w:rsidRDefault="006F2E5D" w:rsidP="00BF7024">
            <w:pPr>
              <w:rPr>
                <w:sz w:val="22"/>
              </w:rPr>
            </w:pP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5555" w:type="dxa"/>
        <w:tblInd w:w="-185" w:type="dxa"/>
        <w:tblLook w:val="04A0" w:firstRow="1" w:lastRow="0" w:firstColumn="1" w:lastColumn="0" w:noHBand="0" w:noVBand="1"/>
      </w:tblPr>
      <w:tblGrid>
        <w:gridCol w:w="5555"/>
      </w:tblGrid>
      <w:tr w:rsidR="00172F0A" w:rsidRPr="00172F0A" w14:paraId="23077D39" w14:textId="77777777" w:rsidTr="000F2EAD">
        <w:trPr>
          <w:trHeight w:val="214"/>
        </w:trPr>
        <w:tc>
          <w:tcPr>
            <w:tcW w:w="5555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lastRenderedPageBreak/>
              <w:t>Photograph:</w:t>
            </w:r>
          </w:p>
        </w:tc>
      </w:tr>
      <w:tr w:rsidR="00AE5FAF" w:rsidRPr="00172F0A" w14:paraId="4E45C71F" w14:textId="77777777" w:rsidTr="000F2EAD">
        <w:trPr>
          <w:trHeight w:val="4310"/>
        </w:trPr>
        <w:tc>
          <w:tcPr>
            <w:tcW w:w="5555" w:type="dxa"/>
            <w:shd w:val="clear" w:color="auto" w:fill="auto"/>
          </w:tcPr>
          <w:p w14:paraId="2E553D58" w14:textId="4C7AC9D0" w:rsidR="00AE5FAF" w:rsidRDefault="000F2EAD" w:rsidP="00BF702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D9D09E1" wp14:editId="6B13BF80">
                  <wp:extent cx="3295650" cy="2197100"/>
                  <wp:effectExtent l="0" t="0" r="0" b="0"/>
                  <wp:docPr id="309056233" name="Picture 1" descr="A person in a blue r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56233" name="Picture 1" descr="A person in a blue rob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312033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0F2EAD"/>
    <w:rsid w:val="00172F0A"/>
    <w:rsid w:val="00312033"/>
    <w:rsid w:val="004C37E2"/>
    <w:rsid w:val="006F2E5D"/>
    <w:rsid w:val="00745190"/>
    <w:rsid w:val="00813C5F"/>
    <w:rsid w:val="008C4076"/>
    <w:rsid w:val="009C5AC4"/>
    <w:rsid w:val="00AE5FAF"/>
    <w:rsid w:val="00B0385D"/>
    <w:rsid w:val="00B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mdhengelsber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neerskinepeirce@gmail.com" TargetMode="External"/><Relationship Id="rId5" Type="http://schemas.openxmlformats.org/officeDocument/2006/relationships/hyperlink" Target="mailto:sherrylead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Mike Hengelsberg</cp:lastModifiedBy>
  <cp:revision>2</cp:revision>
  <dcterms:created xsi:type="dcterms:W3CDTF">2023-08-01T13:00:00Z</dcterms:created>
  <dcterms:modified xsi:type="dcterms:W3CDTF">2023-08-01T13:00:00Z</dcterms:modified>
</cp:coreProperties>
</file>